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jc w:val="center"/>
        <w:rPr>
          <w:rFonts w:ascii="Calibri" w:cs="Calibri" w:eastAsia="Calibri" w:hAnsi="Calibri"/>
          <w:color w:val="2f5496"/>
        </w:rPr>
      </w:pPr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Nueva Ley de Publicidad: Úsala a tu favor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por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Santiago Gómez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Director de la Unidad de Negocios de Pagos Corporativos en Edenred México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Muy pocas personas se enteraron que a principios de junio se publicó la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Ley para la Transparencia, prevención y combate de prácticas indebidas en materia de contratación de publicidad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la cual está vigente desde el 1 de septiembre de 2021 en todo el territorio nacional y cuyo principal objetivo es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lograr que las empresas que contratan publicidad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medios tradicionales (televisión, radio, periódicos, revistas) y medios digitales (Facebook, Youtube, Google, etc.)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tengan mucha mayor certeza de la cantidad y los costos de lo que están adquiriendo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 particular cuando lo hacen a través de alguna agencia.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Algunos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puntos relevantes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todos debemos conocer sobre esta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nueva Ley de Publicidad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son los siguientes: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Las agencias ahora sólo pueden comprar espacios publicitarios a nombre de una empresa anunciante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No podrán hacerlo en grandes volúmenes por anticipado para luego ofrecerlos a distintos clientes.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Cualquier descuento otorgado por los medios debe ser transferido íntegramente a la empresa anunciante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Esto con el fin de transparentar los precios en el mercado de publicidad. Además, la agencia debe facturar sus servicios por separado.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agencia que presta servicio a las empresas anunciantes no puede, al mismo tiempo, prestar servicio a los medios. Asimismo,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las agencias no pueden recibir una comisión o beneficio por parte de los medios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medio debe facturar los espacios publicitarios directamente a la empresa anunciante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Antes típicamente la agencia realizaba la compra y después le facturaba a la empresa anunciante los espacios comprados incluyendo el famoso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agencia.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medios deben entregar toda la información pertinente directamente a la empresa anunciante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 como fechas y lugares de difusión, número y formato de los espacios publicitarios, precios unitarios, etc.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 mi experiencia, creo que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estos cambios son benéficos para las empresas en México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 particular para las medianas y pequeñas que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tendrán mucho mayor visibilidad de sus inversiones publicitarias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Al mismo tiempo, pienso que es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gran oportunidad para que las agencias y los medios de todos los tamaños ofrezcan servicios realmente diferenciadores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beneficien a sus clientes y, por ende, a los consumidores y la sociedad.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las empresas que ya conocen y trabajan con soluciones de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control de gastos empresariales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reconocerán lo fácil que será la adopción de esta nueva regulación en su operación diaria. Por ejemplo,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 el uso de tarjetas Mastercard de aceptación internacional, los equipos de Marketing en las empresas podrán pagar directamente sus inversiones publicitarias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los medios tradicionales o digitales que escojan. Si el pago es en línea, no deben preocuparse ya que, al constituirse como plataformas virtuales, cuentan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CVV dinámico, que garantiza la seguridad de la transacción en cualquier punto de venta físico o en línea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Además, con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buzón inteligente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podrán recibir las facturas tanto de los medios como de las agencias en nuestra plataforma, las cuales viajarán directamente a los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reportes contables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la deducibilidad fiscal de los gastos. De esta manera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simplifican el proceso de punta a punta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haciendo fácil el pago, así como la recepción, validación y deducción de las facturas ante el SAT.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Las agencias de publicidad también se pueden beneficiar de este proceso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 la empresa anunciante les otorga nuestro medio de pago para que puedan comprar los espacios publicitarios a su nombre. Así se lograrán enfocar en la parte creativa y operativa simplificando la administración y pago a los medios. Este circuito es mejor ya que la factura debe salir del medio a la empresa y el pago se estaría realizando directamente de los recursos de la empresa hacia el medio. La agencia facturará sus servicios por separado 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se tendrá que preocupar de una cobranza de la publicidad que puede ser muy cuantiosa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Creemos que podemos agregar valor a todos los participantes en la cadena, al mismo tiempo que ayudamos a todos los involucrados a cumplir cabalmente la nueva regulación.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conclusión, esta nueva regulación sí implica un cambio profundo en la manera de gestionar las inversiones de publicidad en México, pero creemos que va en la línea correcta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profesionalizar y digitalizar la gestión de pagos corporativos en las empresas de todos los tamaños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Con una simplificación del proceso, todos tendrán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mayor visibilidad y control de los recursos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permitiendo a las empresas sacarle el mayor jugo a su dinero.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3968" cy="880942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iputados.gob.mx/LeyesBiblio/pdf/LTPCPIMCP_030621.pdf" TargetMode="External"/><Relationship Id="rId7" Type="http://schemas.openxmlformats.org/officeDocument/2006/relationships/hyperlink" Target="https://www.edenred.mx/compra/control-gastos.html?utm_campaign=Empresarial%20Always%20On%202021&amp;utm_source=ppc&amp;utm_medium=Adwords&amp;utm_term=Branding&amp;utm_source=adwords&amp;utm_term=empresarial%20edenred&amp;utm_campaign=VMLYR+/+Generica+/+Search&amp;utm_medium=ppc&amp;hsa_ver=3&amp;hsa_src=g&amp;hsa_tgt=kwd-325132760289&amp;hsa_ad=507572979793&amp;hsa_cam=9558308790&amp;hsa_mt=e&amp;hsa_grp=97269403879&amp;hsa_net=adwords&amp;hsa_kw=empresarial%20edenred&amp;hsa_acc=1000682256&amp;gclid=Cj0KCQjwrJOMBhCZARIsAGEd4VEYmVj2Sx3dPJeeygLky2fveZGSTDEHeq73eewAu-NdxFMSaIXANZgaArR8EALw_wcB#empresaria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